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91207"/>
        <w:docPartObj>
          <w:docPartGallery w:val="Cover Pages"/>
          <w:docPartUnique/>
        </w:docPartObj>
      </w:sdtPr>
      <w:sdtEndPr>
        <w:rPr>
          <w:rFonts w:ascii="Book Antiqua" w:hAnsi="Book Antiqua" w:cs="Times New Roman"/>
          <w:b/>
          <w:bCs/>
        </w:rPr>
      </w:sdtEndPr>
      <w:sdtContent>
        <w:p w:rsidR="00A30C5F" w:rsidRDefault="00A30C5F" w:rsidP="00A30C5F">
          <w:pPr>
            <w:ind w:left="-720" w:right="-334"/>
          </w:pPr>
        </w:p>
        <w:p w:rsidR="00A30C5F" w:rsidRDefault="00511D20" w:rsidP="003143AC">
          <w:pPr>
            <w:tabs>
              <w:tab w:val="left" w:pos="5910"/>
            </w:tabs>
            <w:ind w:left="-720"/>
          </w:pPr>
          <w:r w:rsidRPr="00511D20">
            <w:rPr>
              <w:noProof/>
              <w:lang w:eastAsia="zh-TW"/>
            </w:rPr>
            <w:pict>
              <v:rect id="_x0000_s1030" style="position:absolute;left:0;text-align:left;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0">
                  <w:txbxContent>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txbxContent>
                </v:textbox>
                <w10:wrap anchorx="page" anchory="page"/>
              </v:rect>
            </w:pict>
          </w:r>
          <w:r w:rsidR="003143AC">
            <w:tab/>
          </w:r>
        </w:p>
        <w:p w:rsidR="00A30C5F" w:rsidRDefault="00A30C5F"/>
        <w:tbl>
          <w:tblPr>
            <w:tblpPr w:leftFromText="180" w:rightFromText="180" w:vertAnchor="text" w:tblpY="1"/>
            <w:tblOverlap w:val="never"/>
            <w:tblW w:w="3506" w:type="pct"/>
            <w:tblInd w:w="138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shd w:val="clear" w:color="auto" w:fill="FFFFFF" w:themeFill="background1"/>
            <w:tblLook w:val="04A0"/>
          </w:tblPr>
          <w:tblGrid>
            <w:gridCol w:w="6778"/>
          </w:tblGrid>
          <w:tr w:rsidR="00A30C5F" w:rsidTr="00A31F4C">
            <w:trPr>
              <w:trHeight w:val="3770"/>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Content>
                  <w:p w:rsidR="00A30C5F" w:rsidRPr="00A30C5F" w:rsidRDefault="00541568" w:rsidP="00A30C5F">
                    <w:pPr>
                      <w:pStyle w:val="No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TRC Financial Services</w:t>
                    </w:r>
                    <w:r w:rsidR="00A30C5F" w:rsidRPr="00A30C5F">
                      <w:rPr>
                        <w:rFonts w:asciiTheme="majorHAnsi" w:eastAsiaTheme="majorEastAsia" w:hAnsiTheme="majorHAnsi" w:cstheme="majorBidi"/>
                        <w:b/>
                        <w:sz w:val="40"/>
                        <w:szCs w:val="40"/>
                      </w:rPr>
                      <w:t xml:space="preserve"> Limited</w:t>
                    </w:r>
                  </w:p>
                </w:sdtContent>
              </w:sdt>
              <w:p w:rsidR="00A30C5F" w:rsidRDefault="00A30C5F" w:rsidP="00A30C5F">
                <w:pPr>
                  <w:pStyle w:val="NoSpacing"/>
                  <w:jc w:val="center"/>
                </w:pPr>
              </w:p>
              <w:sdt>
                <w:sdtPr>
                  <w:rPr>
                    <w:rFonts w:asciiTheme="majorHAnsi" w:eastAsiaTheme="majorEastAsia" w:hAnsiTheme="majorHAnsi" w:cstheme="majorBidi"/>
                    <w:i/>
                    <w:sz w:val="36"/>
                    <w:szCs w:val="36"/>
                  </w:rPr>
                  <w:alias w:val="Subtitle"/>
                  <w:id w:val="13783219"/>
                  <w:dataBinding w:prefixMappings="xmlns:ns0='http://schemas.openxmlformats.org/package/2006/metadata/core-properties' xmlns:ns1='http://purl.org/dc/elements/1.1/'" w:xpath="/ns0:coreProperties[1]/ns1:subject[1]" w:storeItemID="{6C3C8BC8-F283-45AE-878A-BAB7291924A1}"/>
                  <w:text/>
                </w:sdtPr>
                <w:sdtContent>
                  <w:p w:rsidR="00A30C5F" w:rsidRPr="00A30C5F" w:rsidRDefault="00A30C5F" w:rsidP="00A30C5F">
                    <w:pPr>
                      <w:pStyle w:val="NoSpacing"/>
                      <w:jc w:val="center"/>
                      <w:rPr>
                        <w:rFonts w:asciiTheme="majorHAnsi" w:eastAsiaTheme="majorEastAsia" w:hAnsiTheme="majorHAnsi" w:cstheme="majorBidi"/>
                        <w:i/>
                        <w:sz w:val="36"/>
                        <w:szCs w:val="36"/>
                      </w:rPr>
                    </w:pPr>
                    <w:r w:rsidRPr="00A30C5F">
                      <w:rPr>
                        <w:rFonts w:asciiTheme="majorHAnsi" w:eastAsiaTheme="majorEastAsia" w:hAnsiTheme="majorHAnsi" w:cstheme="majorBidi"/>
                        <w:i/>
                        <w:sz w:val="36"/>
                        <w:szCs w:val="36"/>
                      </w:rPr>
                      <w:t xml:space="preserve">Policy on </w:t>
                    </w:r>
                    <w:r w:rsidR="00AB4112">
                      <w:rPr>
                        <w:rFonts w:asciiTheme="majorHAnsi" w:eastAsiaTheme="majorEastAsia" w:hAnsiTheme="majorHAnsi" w:cstheme="majorBidi"/>
                        <w:i/>
                        <w:sz w:val="36"/>
                        <w:szCs w:val="36"/>
                      </w:rPr>
                      <w:t>Material Subsidiaries</w:t>
                    </w:r>
                  </w:p>
                </w:sdtContent>
              </w:sdt>
              <w:p w:rsidR="00A30C5F" w:rsidRDefault="00A30C5F" w:rsidP="00A30C5F">
                <w:pPr>
                  <w:pStyle w:val="NoSpacing"/>
                  <w:jc w:val="center"/>
                </w:pPr>
              </w:p>
              <w:p w:rsidR="00A30C5F" w:rsidRDefault="00A30C5F" w:rsidP="00A30C5F">
                <w:pPr>
                  <w:pStyle w:val="NoSpacing"/>
                  <w:jc w:val="center"/>
                </w:pPr>
              </w:p>
              <w:p w:rsidR="00A30C5F" w:rsidRDefault="00A30C5F" w:rsidP="00A30C5F">
                <w:pPr>
                  <w:pStyle w:val="NoSpacing"/>
                  <w:jc w:val="center"/>
                </w:pPr>
              </w:p>
            </w:tc>
          </w:tr>
        </w:tbl>
        <w:p w:rsidR="00A30C5F" w:rsidRDefault="00A30C5F">
          <w:r>
            <w:br w:type="textWrapping" w:clear="all"/>
          </w:r>
        </w:p>
        <w:p w:rsidR="00A30C5F" w:rsidRDefault="00A30C5F">
          <w:pPr>
            <w:rPr>
              <w:rFonts w:ascii="Book Antiqua" w:hAnsi="Book Antiqua" w:cs="Times New Roman"/>
              <w:b/>
              <w:bCs/>
            </w:rPr>
          </w:pPr>
          <w:r>
            <w:rPr>
              <w:rFonts w:ascii="Book Antiqua" w:hAnsi="Book Antiqua" w:cs="Times New Roman"/>
              <w:b/>
              <w:bCs/>
            </w:rPr>
            <w:br w:type="page"/>
          </w:r>
        </w:p>
      </w:sdtContent>
    </w:sdt>
    <w:p w:rsidR="003232A0" w:rsidRDefault="003232A0" w:rsidP="00A7735B">
      <w:pPr>
        <w:pBdr>
          <w:bottom w:val="single" w:sz="4" w:space="1" w:color="auto"/>
        </w:pBdr>
        <w:spacing w:after="0" w:line="240" w:lineRule="auto"/>
        <w:jc w:val="both"/>
        <w:rPr>
          <w:rFonts w:asciiTheme="majorHAnsi" w:hAnsiTheme="majorHAnsi"/>
          <w:b/>
          <w:sz w:val="25"/>
          <w:szCs w:val="25"/>
        </w:rPr>
      </w:pPr>
    </w:p>
    <w:p w:rsidR="00A7735B" w:rsidRPr="00566568" w:rsidRDefault="00A7735B" w:rsidP="00A7735B">
      <w:pPr>
        <w:pBdr>
          <w:bottom w:val="single" w:sz="4" w:space="1" w:color="auto"/>
        </w:pBdr>
        <w:spacing w:after="0" w:line="240" w:lineRule="auto"/>
        <w:jc w:val="both"/>
        <w:rPr>
          <w:rFonts w:asciiTheme="majorHAnsi" w:hAnsiTheme="majorHAnsi"/>
          <w:b/>
          <w:sz w:val="25"/>
          <w:szCs w:val="25"/>
        </w:rPr>
      </w:pPr>
      <w:r w:rsidRPr="00566568">
        <w:rPr>
          <w:rFonts w:asciiTheme="majorHAnsi" w:hAnsiTheme="majorHAnsi"/>
          <w:b/>
          <w:sz w:val="25"/>
          <w:szCs w:val="25"/>
        </w:rPr>
        <w:t xml:space="preserve">POLICY ON MATERIAL SUBSIDIARIES </w:t>
      </w:r>
    </w:p>
    <w:p w:rsidR="00A7735B" w:rsidRPr="00566568" w:rsidRDefault="00A7735B" w:rsidP="00A7735B">
      <w:pPr>
        <w:pStyle w:val="ListParagraph"/>
        <w:spacing w:after="0" w:line="240" w:lineRule="auto"/>
        <w:ind w:left="0"/>
        <w:jc w:val="both"/>
        <w:rPr>
          <w:rFonts w:asciiTheme="majorHAnsi" w:hAnsiTheme="majorHAnsi"/>
          <w:b/>
          <w:sz w:val="24"/>
          <w:szCs w:val="24"/>
          <w:u w:val="single"/>
        </w:rPr>
      </w:pPr>
    </w:p>
    <w:p w:rsidR="00A7735B" w:rsidRPr="00566568" w:rsidRDefault="00A7735B" w:rsidP="00A7735B">
      <w:pPr>
        <w:pStyle w:val="ListParagraph"/>
        <w:numPr>
          <w:ilvl w:val="0"/>
          <w:numId w:val="25"/>
        </w:numPr>
        <w:spacing w:after="0" w:line="240" w:lineRule="auto"/>
        <w:ind w:left="360"/>
        <w:jc w:val="both"/>
        <w:rPr>
          <w:rFonts w:asciiTheme="majorHAnsi" w:hAnsiTheme="majorHAnsi"/>
          <w:b/>
          <w:sz w:val="24"/>
          <w:szCs w:val="24"/>
          <w:u w:val="single"/>
        </w:rPr>
      </w:pPr>
      <w:r w:rsidRPr="00566568">
        <w:rPr>
          <w:rFonts w:asciiTheme="majorHAnsi" w:hAnsiTheme="majorHAnsi"/>
          <w:b/>
          <w:sz w:val="24"/>
          <w:szCs w:val="24"/>
          <w:u w:val="single"/>
        </w:rPr>
        <w:t xml:space="preserve">OBJECTIVE: </w:t>
      </w:r>
    </w:p>
    <w:p w:rsidR="00A7735B" w:rsidRPr="00566568" w:rsidRDefault="00A7735B" w:rsidP="00A7735B">
      <w:pPr>
        <w:autoSpaceDE w:val="0"/>
        <w:autoSpaceDN w:val="0"/>
        <w:adjustRightInd w:val="0"/>
        <w:spacing w:after="0" w:line="240" w:lineRule="auto"/>
        <w:ind w:left="360"/>
        <w:jc w:val="both"/>
        <w:rPr>
          <w:rFonts w:asciiTheme="majorHAnsi" w:hAnsiTheme="majorHAnsi" w:cs="Arial"/>
          <w:sz w:val="24"/>
          <w:szCs w:val="24"/>
        </w:rPr>
      </w:pPr>
    </w:p>
    <w:p w:rsidR="00A7735B" w:rsidRPr="00566568" w:rsidRDefault="00A7735B" w:rsidP="00A7735B">
      <w:pPr>
        <w:autoSpaceDE w:val="0"/>
        <w:autoSpaceDN w:val="0"/>
        <w:adjustRightInd w:val="0"/>
        <w:spacing w:after="0" w:line="240" w:lineRule="auto"/>
        <w:ind w:left="360"/>
        <w:jc w:val="both"/>
        <w:rPr>
          <w:rFonts w:asciiTheme="majorHAnsi" w:hAnsiTheme="majorHAnsi" w:cs="Arial"/>
          <w:sz w:val="24"/>
          <w:szCs w:val="24"/>
        </w:rPr>
      </w:pPr>
      <w:r w:rsidRPr="00566568">
        <w:rPr>
          <w:rFonts w:asciiTheme="majorHAnsi" w:hAnsiTheme="majorHAnsi" w:cs="Arial"/>
          <w:sz w:val="24"/>
          <w:szCs w:val="24"/>
        </w:rPr>
        <w:t>The Policy is framed in accordance with the requirements of Regulation 24 of</w:t>
      </w:r>
      <w:r>
        <w:rPr>
          <w:rFonts w:asciiTheme="majorHAnsi" w:hAnsiTheme="majorHAnsi" w:cs="Arial"/>
          <w:sz w:val="24"/>
          <w:szCs w:val="24"/>
        </w:rPr>
        <w:t xml:space="preserve"> the</w:t>
      </w:r>
      <w:r w:rsidRPr="00566568">
        <w:rPr>
          <w:rFonts w:asciiTheme="majorHAnsi" w:hAnsiTheme="majorHAnsi" w:cs="Arial"/>
          <w:sz w:val="24"/>
          <w:szCs w:val="24"/>
        </w:rPr>
        <w:t xml:space="preserve"> S</w:t>
      </w:r>
      <w:r>
        <w:rPr>
          <w:rFonts w:asciiTheme="majorHAnsi" w:hAnsiTheme="majorHAnsi" w:cs="Arial"/>
          <w:sz w:val="24"/>
          <w:szCs w:val="24"/>
        </w:rPr>
        <w:t>EBI</w:t>
      </w:r>
      <w:r w:rsidRPr="00566568">
        <w:rPr>
          <w:rFonts w:asciiTheme="majorHAnsi" w:hAnsiTheme="majorHAnsi" w:cs="Arial"/>
          <w:sz w:val="24"/>
          <w:szCs w:val="24"/>
        </w:rPr>
        <w:t xml:space="preserve"> (Lis</w:t>
      </w:r>
      <w:r>
        <w:rPr>
          <w:rFonts w:asciiTheme="majorHAnsi" w:hAnsiTheme="majorHAnsi" w:cs="Arial"/>
          <w:sz w:val="24"/>
          <w:szCs w:val="24"/>
        </w:rPr>
        <w:t xml:space="preserve">ting Obligations and Disclosure </w:t>
      </w:r>
      <w:r w:rsidRPr="00566568">
        <w:rPr>
          <w:rFonts w:asciiTheme="majorHAnsi" w:hAnsiTheme="majorHAnsi" w:cs="Arial"/>
          <w:sz w:val="24"/>
          <w:szCs w:val="24"/>
        </w:rPr>
        <w:t>Requirements) Regulations, 2015 (“Regulations”).</w:t>
      </w:r>
    </w:p>
    <w:p w:rsidR="00A7735B" w:rsidRPr="00566568" w:rsidRDefault="00A7735B" w:rsidP="00A7735B">
      <w:pPr>
        <w:autoSpaceDE w:val="0"/>
        <w:autoSpaceDN w:val="0"/>
        <w:adjustRightInd w:val="0"/>
        <w:spacing w:after="0" w:line="240" w:lineRule="auto"/>
        <w:ind w:left="360"/>
        <w:jc w:val="both"/>
        <w:rPr>
          <w:rFonts w:asciiTheme="majorHAnsi" w:hAnsiTheme="majorHAnsi" w:cs="Arial"/>
          <w:sz w:val="24"/>
          <w:szCs w:val="24"/>
        </w:rPr>
      </w:pPr>
    </w:p>
    <w:p w:rsidR="00A7735B"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Presently the Company does not have any subsidiaries. This Policy will be used to determine the Material Subsidiaries and Material Non-listed Indian Subsidiary of the Company in case in future the Company forms or acquires a subsidiary as defined in the Companies Act 2013.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All the words and expressions used in this Policy, unless defined</w:t>
      </w:r>
      <w:r>
        <w:rPr>
          <w:rFonts w:asciiTheme="majorHAnsi" w:hAnsiTheme="majorHAnsi"/>
          <w:sz w:val="24"/>
          <w:szCs w:val="24"/>
        </w:rPr>
        <w:t xml:space="preserve"> hereafter, shall have meaning </w:t>
      </w:r>
      <w:r w:rsidRPr="00566568">
        <w:rPr>
          <w:rFonts w:asciiTheme="majorHAnsi" w:hAnsiTheme="majorHAnsi"/>
          <w:sz w:val="24"/>
          <w:szCs w:val="24"/>
        </w:rPr>
        <w:t>respectively assigned to them under the Regulations and in the absence of its definition or explanation therein, as per the Companies Act, 2013 (“Act”) and the Rules, Notifications and Circulars made</w:t>
      </w:r>
      <w:r>
        <w:rPr>
          <w:rFonts w:asciiTheme="majorHAnsi" w:hAnsiTheme="majorHAnsi"/>
          <w:sz w:val="24"/>
          <w:szCs w:val="24"/>
        </w:rPr>
        <w:t xml:space="preserve"> </w:t>
      </w:r>
      <w:r w:rsidRPr="00566568">
        <w:rPr>
          <w:rFonts w:asciiTheme="majorHAnsi" w:hAnsiTheme="majorHAnsi"/>
          <w:sz w:val="24"/>
          <w:szCs w:val="24"/>
        </w:rPr>
        <w:t>/</w:t>
      </w:r>
      <w:r>
        <w:rPr>
          <w:rFonts w:asciiTheme="majorHAnsi" w:hAnsiTheme="majorHAnsi"/>
          <w:sz w:val="24"/>
          <w:szCs w:val="24"/>
        </w:rPr>
        <w:t xml:space="preserve"> </w:t>
      </w:r>
      <w:r w:rsidRPr="00566568">
        <w:rPr>
          <w:rFonts w:asciiTheme="majorHAnsi" w:hAnsiTheme="majorHAnsi"/>
          <w:sz w:val="24"/>
          <w:szCs w:val="24"/>
        </w:rPr>
        <w:t xml:space="preserve">issued </w:t>
      </w:r>
      <w:proofErr w:type="spellStart"/>
      <w:r w:rsidRPr="00566568">
        <w:rPr>
          <w:rFonts w:asciiTheme="majorHAnsi" w:hAnsiTheme="majorHAnsi"/>
          <w:sz w:val="24"/>
          <w:szCs w:val="24"/>
        </w:rPr>
        <w:t>thereunder</w:t>
      </w:r>
      <w:proofErr w:type="spellEnd"/>
      <w:r w:rsidRPr="00566568">
        <w:rPr>
          <w:rFonts w:asciiTheme="majorHAnsi" w:hAnsiTheme="majorHAnsi"/>
          <w:sz w:val="24"/>
          <w:szCs w:val="24"/>
        </w:rPr>
        <w:t xml:space="preserve">, as amended, from time to time. </w:t>
      </w:r>
    </w:p>
    <w:p w:rsidR="00A7735B" w:rsidRPr="00566568" w:rsidRDefault="00A7735B" w:rsidP="00A7735B">
      <w:pPr>
        <w:pStyle w:val="ListParagraph"/>
        <w:spacing w:after="0" w:line="240" w:lineRule="auto"/>
        <w:ind w:left="360"/>
        <w:jc w:val="both"/>
        <w:rPr>
          <w:rFonts w:asciiTheme="majorHAnsi" w:hAnsiTheme="majorHAnsi"/>
          <w:b/>
          <w:sz w:val="24"/>
          <w:szCs w:val="24"/>
          <w:u w:val="single"/>
        </w:rPr>
      </w:pPr>
    </w:p>
    <w:p w:rsidR="00A7735B" w:rsidRPr="00566568" w:rsidRDefault="00A7735B" w:rsidP="00A7735B">
      <w:pPr>
        <w:pStyle w:val="ListParagraph"/>
        <w:numPr>
          <w:ilvl w:val="0"/>
          <w:numId w:val="25"/>
        </w:numPr>
        <w:spacing w:after="0" w:line="240" w:lineRule="auto"/>
        <w:ind w:left="360"/>
        <w:jc w:val="both"/>
        <w:rPr>
          <w:rFonts w:asciiTheme="majorHAnsi" w:hAnsiTheme="majorHAnsi"/>
          <w:b/>
          <w:sz w:val="24"/>
          <w:szCs w:val="24"/>
          <w:u w:val="single"/>
        </w:rPr>
      </w:pPr>
      <w:r w:rsidRPr="00566568">
        <w:rPr>
          <w:rFonts w:asciiTheme="majorHAnsi" w:hAnsiTheme="majorHAnsi"/>
          <w:b/>
          <w:sz w:val="24"/>
          <w:szCs w:val="24"/>
          <w:u w:val="single"/>
        </w:rPr>
        <w:t xml:space="preserve">DEFINITIONS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“Audit Committee” means the committee constituted by the Board of Directors of the Company in accordance with section 177 of the Act.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“Independent Director” means a director of the Company, not being a whole time director and who is neither a promoter nor belongs to the promoter group of the Company and who satisfies other criteria for independence under the Act and the Regulations.</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“Material Subsidiary” shall mean a subsidiary in which the investment of the Company exceeds Twenty per cent of its consolidated net worth as per the audited balance sheet of the previous financial year or if the Subsidiary has generated Twenty per cent of the consolidated income of the Company during the previous financial year.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“Material Non-listed Indian Subsidiary” shall mean an unlisted Subsidiary, incorporated in India, whose income or net worth (i.e. Paid up Capital and Free reserves) exceeds 20% of the consolidated income or net worth respectively, of the Company and its subsidiaries in the immediately preceding accounting year.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“Significant transaction or arrangement” shall mean any individual transaction or arrangement that exceeds or is likely to exceed 10</w:t>
      </w:r>
      <w:r w:rsidRPr="00F6676D">
        <w:rPr>
          <w:rFonts w:asciiTheme="majorHAnsi" w:hAnsiTheme="majorHAnsi"/>
          <w:sz w:val="24"/>
          <w:szCs w:val="24"/>
        </w:rPr>
        <w:t>%</w:t>
      </w:r>
      <w:r w:rsidRPr="00566568">
        <w:rPr>
          <w:rFonts w:asciiTheme="majorHAnsi" w:hAnsiTheme="majorHAnsi"/>
          <w:sz w:val="24"/>
          <w:szCs w:val="24"/>
        </w:rPr>
        <w:t xml:space="preserve"> of the total revenues or total expenses or total assets or total liabilities, as the case may be, of the material unlisted subsidiary for the immediately preceding accounting year.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“Subsidiary” shall be as defined under the Act and the rules made </w:t>
      </w:r>
      <w:proofErr w:type="spellStart"/>
      <w:r w:rsidRPr="00566568">
        <w:rPr>
          <w:rFonts w:asciiTheme="majorHAnsi" w:hAnsiTheme="majorHAnsi"/>
          <w:sz w:val="24"/>
          <w:szCs w:val="24"/>
        </w:rPr>
        <w:t>thereunder</w:t>
      </w:r>
      <w:proofErr w:type="spellEnd"/>
      <w:r w:rsidRPr="00566568">
        <w:rPr>
          <w:rFonts w:asciiTheme="majorHAnsi" w:hAnsiTheme="majorHAnsi"/>
          <w:sz w:val="24"/>
          <w:szCs w:val="24"/>
        </w:rPr>
        <w:t xml:space="preserve">.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“Unlisted Subsidiary” means Subsidiary whose securities are not listed on any recognized Stock Exchanges.</w:t>
      </w:r>
    </w:p>
    <w:p w:rsidR="003232A0" w:rsidRDefault="003232A0">
      <w:pPr>
        <w:rPr>
          <w:rFonts w:asciiTheme="majorHAnsi" w:hAnsiTheme="majorHAnsi"/>
          <w:sz w:val="24"/>
          <w:szCs w:val="24"/>
        </w:rPr>
      </w:pPr>
      <w:r>
        <w:rPr>
          <w:rFonts w:asciiTheme="majorHAnsi" w:hAnsiTheme="majorHAnsi"/>
          <w:sz w:val="24"/>
          <w:szCs w:val="24"/>
        </w:rPr>
        <w:br w:type="page"/>
      </w:r>
    </w:p>
    <w:p w:rsidR="006C6505" w:rsidRDefault="006C6505" w:rsidP="006C6505">
      <w:pPr>
        <w:pStyle w:val="ListParagraph"/>
        <w:spacing w:after="0" w:line="240" w:lineRule="auto"/>
        <w:ind w:left="360"/>
        <w:jc w:val="both"/>
        <w:rPr>
          <w:rFonts w:asciiTheme="majorHAnsi" w:hAnsiTheme="majorHAnsi"/>
          <w:b/>
          <w:sz w:val="24"/>
          <w:szCs w:val="24"/>
          <w:u w:val="single"/>
        </w:rPr>
      </w:pPr>
    </w:p>
    <w:p w:rsidR="00A7735B" w:rsidRPr="00566568" w:rsidRDefault="00A7735B" w:rsidP="00A7735B">
      <w:pPr>
        <w:pStyle w:val="ListParagraph"/>
        <w:numPr>
          <w:ilvl w:val="0"/>
          <w:numId w:val="25"/>
        </w:numPr>
        <w:spacing w:after="0" w:line="240" w:lineRule="auto"/>
        <w:ind w:left="360"/>
        <w:jc w:val="both"/>
        <w:rPr>
          <w:rFonts w:asciiTheme="majorHAnsi" w:hAnsiTheme="majorHAnsi"/>
          <w:b/>
          <w:sz w:val="24"/>
          <w:szCs w:val="24"/>
          <w:u w:val="single"/>
        </w:rPr>
      </w:pPr>
      <w:r w:rsidRPr="00566568">
        <w:rPr>
          <w:rFonts w:asciiTheme="majorHAnsi" w:hAnsiTheme="majorHAnsi"/>
          <w:b/>
          <w:sz w:val="24"/>
          <w:szCs w:val="24"/>
          <w:u w:val="single"/>
        </w:rPr>
        <w:t>POLICY AND PROCEDURE</w:t>
      </w:r>
    </w:p>
    <w:p w:rsidR="00A7735B" w:rsidRPr="00566568" w:rsidRDefault="00A7735B" w:rsidP="00A7735B">
      <w:pPr>
        <w:pStyle w:val="ListParagraph"/>
        <w:spacing w:after="0" w:line="240" w:lineRule="auto"/>
        <w:ind w:left="360"/>
        <w:jc w:val="both"/>
        <w:rPr>
          <w:rFonts w:asciiTheme="majorHAnsi" w:hAnsiTheme="majorHAnsi"/>
          <w:b/>
          <w:sz w:val="24"/>
          <w:szCs w:val="24"/>
          <w:u w:val="single"/>
        </w:rPr>
      </w:pPr>
    </w:p>
    <w:p w:rsidR="00A7735B" w:rsidRDefault="00A7735B" w:rsidP="00A7735B">
      <w:pPr>
        <w:pStyle w:val="ListParagraph"/>
        <w:numPr>
          <w:ilvl w:val="0"/>
          <w:numId w:val="26"/>
        </w:numPr>
        <w:spacing w:after="0" w:line="240" w:lineRule="auto"/>
        <w:ind w:left="720"/>
        <w:jc w:val="both"/>
        <w:rPr>
          <w:rFonts w:asciiTheme="majorHAnsi" w:hAnsiTheme="majorHAnsi"/>
          <w:sz w:val="24"/>
          <w:szCs w:val="24"/>
        </w:rPr>
      </w:pPr>
      <w:r w:rsidRPr="00566568">
        <w:rPr>
          <w:rFonts w:asciiTheme="majorHAnsi" w:hAnsiTheme="majorHAnsi"/>
          <w:sz w:val="24"/>
          <w:szCs w:val="24"/>
        </w:rPr>
        <w:t>The Audit Committee shall also review the financial statements, in particular, the investments made by the Unlisted Subsidiary of the Company.</w:t>
      </w:r>
    </w:p>
    <w:p w:rsidR="00A7735B" w:rsidRPr="00566568" w:rsidRDefault="00A7735B" w:rsidP="00A7735B">
      <w:pPr>
        <w:pStyle w:val="ListParagraph"/>
        <w:spacing w:after="0" w:line="240" w:lineRule="auto"/>
        <w:jc w:val="both"/>
        <w:rPr>
          <w:rFonts w:asciiTheme="majorHAnsi" w:hAnsiTheme="majorHAnsi"/>
          <w:sz w:val="24"/>
          <w:szCs w:val="24"/>
        </w:rPr>
      </w:pPr>
      <w:r w:rsidRPr="00566568">
        <w:rPr>
          <w:rFonts w:asciiTheme="majorHAnsi" w:hAnsiTheme="majorHAnsi"/>
          <w:sz w:val="24"/>
          <w:szCs w:val="24"/>
        </w:rPr>
        <w:t xml:space="preserve"> </w:t>
      </w:r>
    </w:p>
    <w:p w:rsidR="00A7735B" w:rsidRPr="00566568" w:rsidRDefault="00A7735B" w:rsidP="00A7735B">
      <w:pPr>
        <w:pStyle w:val="ListParagraph"/>
        <w:numPr>
          <w:ilvl w:val="0"/>
          <w:numId w:val="26"/>
        </w:numPr>
        <w:spacing w:after="0" w:line="240" w:lineRule="auto"/>
        <w:ind w:left="720"/>
        <w:jc w:val="both"/>
        <w:rPr>
          <w:rFonts w:asciiTheme="majorHAnsi" w:hAnsiTheme="majorHAnsi"/>
          <w:sz w:val="24"/>
          <w:szCs w:val="24"/>
        </w:rPr>
      </w:pPr>
      <w:r w:rsidRPr="00566568">
        <w:rPr>
          <w:rFonts w:asciiTheme="majorHAnsi" w:hAnsiTheme="majorHAnsi"/>
          <w:sz w:val="24"/>
          <w:szCs w:val="24"/>
        </w:rPr>
        <w:t>The minutes of the Board meetings of the Unlisted Subsidiary Company shall be placed at the Board meeting of the Company a</w:t>
      </w:r>
      <w:r>
        <w:rPr>
          <w:rFonts w:asciiTheme="majorHAnsi" w:hAnsiTheme="majorHAnsi"/>
          <w:sz w:val="24"/>
          <w:szCs w:val="24"/>
        </w:rPr>
        <w:t>t regular intervals.</w:t>
      </w:r>
    </w:p>
    <w:p w:rsidR="00A7735B" w:rsidRDefault="00A7735B" w:rsidP="00A7735B">
      <w:pPr>
        <w:pStyle w:val="ListParagraph"/>
        <w:spacing w:after="0" w:line="240" w:lineRule="auto"/>
        <w:jc w:val="both"/>
        <w:rPr>
          <w:rFonts w:asciiTheme="majorHAnsi" w:hAnsiTheme="majorHAnsi"/>
          <w:sz w:val="24"/>
          <w:szCs w:val="24"/>
        </w:rPr>
      </w:pPr>
    </w:p>
    <w:p w:rsidR="00A7735B" w:rsidRPr="00566568" w:rsidRDefault="00A7735B" w:rsidP="00A7735B">
      <w:pPr>
        <w:pStyle w:val="ListParagraph"/>
        <w:numPr>
          <w:ilvl w:val="0"/>
          <w:numId w:val="26"/>
        </w:numPr>
        <w:spacing w:after="0" w:line="240" w:lineRule="auto"/>
        <w:ind w:left="720"/>
        <w:jc w:val="both"/>
        <w:rPr>
          <w:rFonts w:asciiTheme="majorHAnsi" w:hAnsiTheme="majorHAnsi"/>
          <w:sz w:val="24"/>
          <w:szCs w:val="24"/>
        </w:rPr>
      </w:pPr>
      <w:r w:rsidRPr="00566568">
        <w:rPr>
          <w:rFonts w:asciiTheme="majorHAnsi" w:hAnsiTheme="majorHAnsi"/>
          <w:sz w:val="24"/>
          <w:szCs w:val="24"/>
        </w:rPr>
        <w:t>The Board shall be provided with a statement of all significant transactions and arrangements entered into by the Unlisted Subsidiary Company.</w:t>
      </w:r>
    </w:p>
    <w:p w:rsidR="00A7735B" w:rsidRDefault="00A7735B" w:rsidP="00A7735B">
      <w:pPr>
        <w:pStyle w:val="ListParagraph"/>
        <w:spacing w:after="0" w:line="240" w:lineRule="auto"/>
        <w:jc w:val="both"/>
        <w:rPr>
          <w:rFonts w:asciiTheme="majorHAnsi" w:hAnsiTheme="majorHAnsi"/>
          <w:sz w:val="24"/>
          <w:szCs w:val="24"/>
        </w:rPr>
      </w:pPr>
    </w:p>
    <w:p w:rsidR="00A7735B" w:rsidRPr="00566568" w:rsidRDefault="00A7735B" w:rsidP="00A7735B">
      <w:pPr>
        <w:pStyle w:val="ListParagraph"/>
        <w:numPr>
          <w:ilvl w:val="0"/>
          <w:numId w:val="26"/>
        </w:numPr>
        <w:spacing w:after="0" w:line="240" w:lineRule="auto"/>
        <w:ind w:left="720"/>
        <w:jc w:val="both"/>
        <w:rPr>
          <w:rFonts w:asciiTheme="majorHAnsi" w:hAnsiTheme="majorHAnsi"/>
          <w:sz w:val="24"/>
          <w:szCs w:val="24"/>
        </w:rPr>
      </w:pPr>
      <w:r w:rsidRPr="00566568">
        <w:rPr>
          <w:rFonts w:asciiTheme="majorHAnsi" w:hAnsiTheme="majorHAnsi"/>
          <w:sz w:val="24"/>
          <w:szCs w:val="24"/>
        </w:rPr>
        <w:t xml:space="preserve">One Independent Director of the Company shall be a director on the board of the Material Non-Listed Indian Subsidiary. </w:t>
      </w:r>
    </w:p>
    <w:p w:rsidR="00A7735B" w:rsidRDefault="00A7735B" w:rsidP="00A7735B">
      <w:pPr>
        <w:pStyle w:val="ListParagraph"/>
        <w:spacing w:after="0" w:line="240" w:lineRule="auto"/>
        <w:jc w:val="both"/>
        <w:rPr>
          <w:rFonts w:asciiTheme="majorHAnsi" w:hAnsiTheme="majorHAnsi"/>
          <w:sz w:val="24"/>
          <w:szCs w:val="24"/>
        </w:rPr>
      </w:pPr>
    </w:p>
    <w:p w:rsidR="00A7735B" w:rsidRDefault="00A7735B" w:rsidP="00A7735B">
      <w:pPr>
        <w:pStyle w:val="ListParagraph"/>
        <w:numPr>
          <w:ilvl w:val="0"/>
          <w:numId w:val="26"/>
        </w:numPr>
        <w:spacing w:after="0" w:line="240" w:lineRule="auto"/>
        <w:ind w:left="720"/>
        <w:jc w:val="both"/>
        <w:rPr>
          <w:rFonts w:asciiTheme="majorHAnsi" w:hAnsiTheme="majorHAnsi"/>
          <w:sz w:val="24"/>
          <w:szCs w:val="24"/>
        </w:rPr>
      </w:pPr>
      <w:r w:rsidRPr="00741FFE">
        <w:rPr>
          <w:rFonts w:asciiTheme="majorHAnsi" w:hAnsiTheme="majorHAnsi"/>
          <w:sz w:val="24"/>
          <w:szCs w:val="24"/>
        </w:rPr>
        <w:t xml:space="preserve">The Company shall not dispose of shares in its Material Subsidiary, which would reduce its shareholding (either on its own or together with other Subsidiaries) to less than 50% or cease the exercise of control over the Subsidiary without passing a special resolution in its general meeting except in cases where such divestment is made under a scheme of arrangement duly approved by Court/Tribunal. </w:t>
      </w:r>
    </w:p>
    <w:p w:rsidR="00A7735B" w:rsidRPr="00741FFE" w:rsidRDefault="00A7735B" w:rsidP="00A7735B">
      <w:pPr>
        <w:spacing w:after="0" w:line="240" w:lineRule="auto"/>
        <w:jc w:val="both"/>
        <w:rPr>
          <w:rFonts w:asciiTheme="majorHAnsi" w:hAnsiTheme="majorHAnsi"/>
          <w:sz w:val="24"/>
          <w:szCs w:val="24"/>
        </w:rPr>
      </w:pPr>
    </w:p>
    <w:p w:rsidR="00A7735B" w:rsidRDefault="00A7735B" w:rsidP="00A7735B">
      <w:pPr>
        <w:pStyle w:val="ListParagraph"/>
        <w:numPr>
          <w:ilvl w:val="0"/>
          <w:numId w:val="26"/>
        </w:numPr>
        <w:spacing w:after="0" w:line="240" w:lineRule="auto"/>
        <w:ind w:left="720"/>
        <w:jc w:val="both"/>
        <w:rPr>
          <w:rFonts w:asciiTheme="majorHAnsi" w:hAnsiTheme="majorHAnsi"/>
          <w:sz w:val="24"/>
          <w:szCs w:val="24"/>
        </w:rPr>
      </w:pPr>
      <w:r w:rsidRPr="00741FFE">
        <w:rPr>
          <w:rFonts w:asciiTheme="majorHAnsi" w:hAnsiTheme="majorHAnsi"/>
          <w:sz w:val="24"/>
          <w:szCs w:val="24"/>
        </w:rPr>
        <w:t xml:space="preserve">Selling, disposing and leasing of assets amounting to more than twenty percent of the assets of the Material Subsidiary on an aggregate basis during a financial year shall require prior approval of shareholders by way of special resolution unless the sale / disposal / lease is made under a scheme of arrangement duly approved by a Court / Tribunal. </w:t>
      </w:r>
    </w:p>
    <w:p w:rsidR="00A7735B" w:rsidRPr="00741FFE" w:rsidRDefault="00A7735B" w:rsidP="00A7735B">
      <w:pPr>
        <w:spacing w:after="0" w:line="240" w:lineRule="auto"/>
        <w:jc w:val="both"/>
        <w:rPr>
          <w:rFonts w:asciiTheme="majorHAnsi" w:hAnsiTheme="majorHAnsi"/>
          <w:sz w:val="24"/>
          <w:szCs w:val="24"/>
        </w:rPr>
      </w:pPr>
    </w:p>
    <w:p w:rsidR="00A7735B" w:rsidRPr="00566568" w:rsidRDefault="00A7735B" w:rsidP="00A7735B">
      <w:pPr>
        <w:pStyle w:val="ListParagraph"/>
        <w:numPr>
          <w:ilvl w:val="0"/>
          <w:numId w:val="25"/>
        </w:numPr>
        <w:spacing w:after="0" w:line="240" w:lineRule="auto"/>
        <w:ind w:left="360"/>
        <w:jc w:val="both"/>
        <w:rPr>
          <w:rFonts w:asciiTheme="majorHAnsi" w:hAnsiTheme="majorHAnsi"/>
          <w:b/>
          <w:sz w:val="24"/>
          <w:szCs w:val="24"/>
          <w:u w:val="single"/>
        </w:rPr>
      </w:pPr>
      <w:r w:rsidRPr="00566568">
        <w:rPr>
          <w:rFonts w:asciiTheme="majorHAnsi" w:hAnsiTheme="majorHAnsi"/>
          <w:b/>
          <w:sz w:val="24"/>
          <w:szCs w:val="24"/>
          <w:u w:val="single"/>
        </w:rPr>
        <w:t xml:space="preserve">DISCLOSURES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The Company shall disclose in its Board’s report, details of this Policy as required under the Act and the Regulations. This Policy shall be disclosed on the Company’s website and a web link thereto shall be provided in the Board’s report.</w:t>
      </w:r>
    </w:p>
    <w:p w:rsidR="00A7735B" w:rsidRPr="00566568" w:rsidRDefault="00A7735B" w:rsidP="00A7735B">
      <w:pPr>
        <w:pStyle w:val="ListParagraph"/>
        <w:spacing w:after="0" w:line="240" w:lineRule="auto"/>
        <w:ind w:left="360"/>
        <w:jc w:val="both"/>
        <w:rPr>
          <w:rFonts w:asciiTheme="majorHAnsi" w:hAnsiTheme="majorHAnsi"/>
          <w:b/>
          <w:sz w:val="24"/>
          <w:szCs w:val="24"/>
          <w:u w:val="single"/>
        </w:rPr>
      </w:pPr>
    </w:p>
    <w:p w:rsidR="00A7735B" w:rsidRPr="00566568" w:rsidRDefault="00A7735B" w:rsidP="00A7735B">
      <w:pPr>
        <w:pStyle w:val="ListParagraph"/>
        <w:numPr>
          <w:ilvl w:val="0"/>
          <w:numId w:val="25"/>
        </w:numPr>
        <w:spacing w:after="0" w:line="240" w:lineRule="auto"/>
        <w:ind w:left="360"/>
        <w:jc w:val="both"/>
        <w:rPr>
          <w:rFonts w:asciiTheme="majorHAnsi" w:hAnsiTheme="majorHAnsi"/>
          <w:b/>
          <w:sz w:val="24"/>
          <w:szCs w:val="24"/>
          <w:u w:val="single"/>
        </w:rPr>
      </w:pPr>
      <w:r w:rsidRPr="00566568">
        <w:rPr>
          <w:rFonts w:asciiTheme="majorHAnsi" w:hAnsiTheme="majorHAnsi"/>
          <w:b/>
          <w:sz w:val="24"/>
          <w:szCs w:val="24"/>
          <w:u w:val="single"/>
        </w:rPr>
        <w:t xml:space="preserve">LIMITATION AND AMENDMENT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The Audit Committee will review the policy periodically and may amend the same from time to time, as may be deemed necessary.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 xml:space="preserve">In the event of any conflict between the provisions of this Policy and of the Act or Regulations or any other statutory enactments, rules, the provisions of such Act or Regulations or statutory enactments, rules shall prevail over this Policy. </w:t>
      </w:r>
    </w:p>
    <w:p w:rsidR="00A7735B" w:rsidRPr="00566568" w:rsidRDefault="00A7735B" w:rsidP="00A7735B">
      <w:pPr>
        <w:spacing w:after="0" w:line="240" w:lineRule="auto"/>
        <w:ind w:left="360"/>
        <w:jc w:val="both"/>
        <w:rPr>
          <w:rFonts w:asciiTheme="majorHAnsi" w:hAnsiTheme="majorHAnsi"/>
          <w:sz w:val="24"/>
          <w:szCs w:val="24"/>
        </w:rPr>
      </w:pPr>
    </w:p>
    <w:p w:rsidR="00A7735B" w:rsidRPr="00566568" w:rsidRDefault="00A7735B" w:rsidP="00A7735B">
      <w:pPr>
        <w:spacing w:after="0" w:line="240" w:lineRule="auto"/>
        <w:ind w:left="360"/>
        <w:jc w:val="both"/>
        <w:rPr>
          <w:rFonts w:asciiTheme="majorHAnsi" w:hAnsiTheme="majorHAnsi"/>
          <w:sz w:val="24"/>
          <w:szCs w:val="24"/>
        </w:rPr>
      </w:pPr>
      <w:r w:rsidRPr="00566568">
        <w:rPr>
          <w:rFonts w:asciiTheme="majorHAnsi" w:hAnsiTheme="majorHAnsi"/>
          <w:sz w:val="24"/>
          <w:szCs w:val="24"/>
        </w:rPr>
        <w:t>Any subsequent amendment / modification in the Regulations, Act and/or applicable laws in this regard shall automatically apply to this Policy.</w:t>
      </w:r>
    </w:p>
    <w:p w:rsidR="003143AC" w:rsidRDefault="003143AC" w:rsidP="00A7735B">
      <w:pPr>
        <w:spacing w:after="0"/>
        <w:rPr>
          <w:rFonts w:ascii="Book Antiqua" w:hAnsi="Book Antiqua" w:cs="Times New Roman"/>
          <w:b/>
          <w:bCs/>
        </w:rPr>
      </w:pPr>
    </w:p>
    <w:sectPr w:rsidR="003143AC" w:rsidSect="009D19EB">
      <w:headerReference w:type="even" r:id="rId8"/>
      <w:headerReference w:type="default" r:id="rId9"/>
      <w:footerReference w:type="even" r:id="rId10"/>
      <w:footerReference w:type="default" r:id="rId11"/>
      <w:headerReference w:type="first" r:id="rId12"/>
      <w:footerReference w:type="first" r:id="rId13"/>
      <w:pgSz w:w="11906" w:h="16838"/>
      <w:pgMar w:top="630" w:right="1016" w:bottom="144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4C" w:rsidRDefault="00A31F4C" w:rsidP="00C02E4A">
      <w:pPr>
        <w:spacing w:after="0" w:line="240" w:lineRule="auto"/>
      </w:pPr>
      <w:r>
        <w:separator/>
      </w:r>
    </w:p>
  </w:endnote>
  <w:endnote w:type="continuationSeparator" w:id="1">
    <w:p w:rsidR="00A31F4C" w:rsidRDefault="00A31F4C" w:rsidP="00C0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93" w:rsidRDefault="00D30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31F4C" w:rsidP="0048489F">
    <w:pPr>
      <w:pStyle w:val="Footer"/>
      <w:tabs>
        <w:tab w:val="clear" w:pos="4680"/>
        <w:tab w:val="clear" w:pos="9360"/>
        <w:tab w:val="left" w:pos="6660"/>
      </w:tabs>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306"/>
      <w:docPartObj>
        <w:docPartGallery w:val="Page Numbers (Bottom of Page)"/>
        <w:docPartUnique/>
      </w:docPartObj>
    </w:sdtPr>
    <w:sdtContent>
      <w:sdt>
        <w:sdtPr>
          <w:id w:val="565050523"/>
          <w:docPartObj>
            <w:docPartGallery w:val="Page Numbers (Top of Page)"/>
            <w:docPartUnique/>
          </w:docPartObj>
        </w:sdtPr>
        <w:sdtContent>
          <w:p w:rsidR="00A31F4C" w:rsidRDefault="00A31F4C">
            <w:pPr>
              <w:pStyle w:val="Footer"/>
              <w:jc w:val="right"/>
            </w:pPr>
            <w:r>
              <w:t xml:space="preserve">Page </w:t>
            </w:r>
            <w:r w:rsidR="00511D20">
              <w:rPr>
                <w:b/>
                <w:sz w:val="24"/>
                <w:szCs w:val="24"/>
              </w:rPr>
              <w:fldChar w:fldCharType="begin"/>
            </w:r>
            <w:r>
              <w:rPr>
                <w:b/>
              </w:rPr>
              <w:instrText xml:space="preserve"> PAGE </w:instrText>
            </w:r>
            <w:r w:rsidR="00511D20">
              <w:rPr>
                <w:b/>
                <w:sz w:val="24"/>
                <w:szCs w:val="24"/>
              </w:rPr>
              <w:fldChar w:fldCharType="separate"/>
            </w:r>
            <w:r>
              <w:rPr>
                <w:b/>
                <w:noProof/>
              </w:rPr>
              <w:t>1</w:t>
            </w:r>
            <w:r w:rsidR="00511D20">
              <w:rPr>
                <w:b/>
                <w:sz w:val="24"/>
                <w:szCs w:val="24"/>
              </w:rPr>
              <w:fldChar w:fldCharType="end"/>
            </w:r>
            <w:r>
              <w:t xml:space="preserve"> of </w:t>
            </w:r>
            <w:r w:rsidR="00511D20">
              <w:rPr>
                <w:b/>
                <w:sz w:val="24"/>
                <w:szCs w:val="24"/>
              </w:rPr>
              <w:fldChar w:fldCharType="begin"/>
            </w:r>
            <w:r>
              <w:rPr>
                <w:b/>
              </w:rPr>
              <w:instrText xml:space="preserve"> NUMPAGES  </w:instrText>
            </w:r>
            <w:r w:rsidR="00511D20">
              <w:rPr>
                <w:b/>
                <w:sz w:val="24"/>
                <w:szCs w:val="24"/>
              </w:rPr>
              <w:fldChar w:fldCharType="separate"/>
            </w:r>
            <w:r>
              <w:rPr>
                <w:b/>
                <w:noProof/>
              </w:rPr>
              <w:t>5</w:t>
            </w:r>
            <w:r w:rsidR="00511D20">
              <w:rPr>
                <w:b/>
                <w:sz w:val="24"/>
                <w:szCs w:val="24"/>
              </w:rPr>
              <w:fldChar w:fldCharType="end"/>
            </w:r>
          </w:p>
        </w:sdtContent>
      </w:sdt>
    </w:sdtContent>
  </w:sdt>
  <w:p w:rsidR="00A31F4C" w:rsidRDefault="00A31F4C" w:rsidP="0048489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4C" w:rsidRDefault="00A31F4C" w:rsidP="00C02E4A">
      <w:pPr>
        <w:spacing w:after="0" w:line="240" w:lineRule="auto"/>
      </w:pPr>
      <w:r>
        <w:separator/>
      </w:r>
    </w:p>
  </w:footnote>
  <w:footnote w:type="continuationSeparator" w:id="1">
    <w:p w:rsidR="00A31F4C" w:rsidRDefault="00A31F4C" w:rsidP="00C0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511D20">
    <w:pPr>
      <w:pStyle w:val="Header"/>
    </w:pPr>
    <w:r w:rsidRPr="00511D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5739" o:spid="_x0000_s2051" type="#_x0000_t136" style="position:absolute;margin-left:0;margin-top:0;width:622.7pt;height:43.4pt;rotation:315;z-index:-251654144;mso-position-horizontal:center;mso-position-horizontal-relative:margin;mso-position-vertical:center;mso-position-vertical-relative:margin" o:allowincell="f" fillcolor="#7f7f7f [1612]" stroked="f">
          <v:fill opacity=".5"/>
          <v:textpath style="font-family:&quot;Calibri&quot;;font-size:1pt" string="TRC Financial Services Limited - Material Subsidiaries Polic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511D20" w:rsidP="0048489F">
    <w:pPr>
      <w:pStyle w:val="Header"/>
      <w:ind w:left="-720"/>
    </w:pPr>
    <w:r w:rsidRPr="00511D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5740" o:spid="_x0000_s2052" type="#_x0000_t136" style="position:absolute;left:0;text-align:left;margin-left:0;margin-top:0;width:622.7pt;height:43.4pt;rotation:315;z-index:-251652096;mso-position-horizontal:center;mso-position-horizontal-relative:margin;mso-position-vertical:center;mso-position-vertical-relative:margin" o:allowincell="f" fillcolor="#7f7f7f [1612]" stroked="f">
          <v:fill opacity=".5"/>
          <v:textpath style="font-family:&quot;Calibri&quot;;font-size:1pt" string="TRC Financial Services Limited - Material Subsidiaries Polic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31F4C" w:rsidRDefault="00A31F4C">
        <w:pPr>
          <w:pStyle w:val="Header"/>
        </w:pPr>
        <w:r>
          <w:t>[Type text]</w:t>
        </w:r>
      </w:p>
    </w:sdtContent>
  </w:sdt>
  <w:p w:rsidR="00A31F4C" w:rsidRDefault="00511D20" w:rsidP="0048489F">
    <w:pPr>
      <w:pStyle w:val="Header"/>
      <w:ind w:left="-720"/>
    </w:pPr>
    <w:r w:rsidRPr="00511D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5738" o:spid="_x0000_s2050" type="#_x0000_t136" style="position:absolute;left:0;text-align:left;margin-left:0;margin-top:0;width:622.7pt;height:43.4pt;rotation:315;z-index:-251656192;mso-position-horizontal:center;mso-position-horizontal-relative:margin;mso-position-vertical:center;mso-position-vertical-relative:margin" o:allowincell="f" fillcolor="#7f7f7f [1612]" stroked="f">
          <v:fill opacity=".5"/>
          <v:textpath style="font-family:&quot;Calibri&quot;;font-size:1pt" string="TRC Financial Services Limited - Material Subsidiaries Polic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892"/>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791B"/>
    <w:multiLevelType w:val="hybridMultilevel"/>
    <w:tmpl w:val="C92C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62F00"/>
    <w:multiLevelType w:val="hybridMultilevel"/>
    <w:tmpl w:val="CBA0661A"/>
    <w:lvl w:ilvl="0" w:tplc="BFD840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1687150"/>
    <w:multiLevelType w:val="hybridMultilevel"/>
    <w:tmpl w:val="6E702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C0374"/>
    <w:multiLevelType w:val="hybridMultilevel"/>
    <w:tmpl w:val="9DA2D3E2"/>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7A65F6"/>
    <w:multiLevelType w:val="hybridMultilevel"/>
    <w:tmpl w:val="D7E611E8"/>
    <w:lvl w:ilvl="0" w:tplc="C8E6D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D5BB3"/>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10197"/>
    <w:multiLevelType w:val="hybridMultilevel"/>
    <w:tmpl w:val="580E81E8"/>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C7ADF"/>
    <w:multiLevelType w:val="hybridMultilevel"/>
    <w:tmpl w:val="2E969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F26FB9"/>
    <w:multiLevelType w:val="hybridMultilevel"/>
    <w:tmpl w:val="B5B6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B36C3"/>
    <w:multiLevelType w:val="hybridMultilevel"/>
    <w:tmpl w:val="800A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91D5B"/>
    <w:multiLevelType w:val="hybridMultilevel"/>
    <w:tmpl w:val="AF4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B0264"/>
    <w:multiLevelType w:val="hybridMultilevel"/>
    <w:tmpl w:val="2E468DA8"/>
    <w:lvl w:ilvl="0" w:tplc="0E72B136">
      <w:start w:val="1"/>
      <w:numFmt w:val="lowerRoman"/>
      <w:lvlText w:val=" (%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743AFD"/>
    <w:multiLevelType w:val="hybridMultilevel"/>
    <w:tmpl w:val="6B4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16C96"/>
    <w:multiLevelType w:val="hybridMultilevel"/>
    <w:tmpl w:val="EDC2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B341B"/>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90798F"/>
    <w:multiLevelType w:val="hybridMultilevel"/>
    <w:tmpl w:val="64940C0E"/>
    <w:lvl w:ilvl="0" w:tplc="D916C0F0">
      <w:start w:val="1"/>
      <w:numFmt w:val="upperLetter"/>
      <w:lvlText w:val="%1."/>
      <w:lvlJc w:val="left"/>
      <w:pPr>
        <w:ind w:left="720" w:hanging="360"/>
      </w:pPr>
      <w:rPr>
        <w:rFonts w:hint="default"/>
        <w:b/>
      </w:rPr>
    </w:lvl>
    <w:lvl w:ilvl="1" w:tplc="9170F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94AA0"/>
    <w:multiLevelType w:val="hybridMultilevel"/>
    <w:tmpl w:val="B53C4DDE"/>
    <w:lvl w:ilvl="0" w:tplc="C7047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36B46"/>
    <w:multiLevelType w:val="hybridMultilevel"/>
    <w:tmpl w:val="84986090"/>
    <w:lvl w:ilvl="0" w:tplc="7FE62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B1285"/>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770891"/>
    <w:multiLevelType w:val="hybridMultilevel"/>
    <w:tmpl w:val="9F1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8E4A65"/>
    <w:multiLevelType w:val="hybridMultilevel"/>
    <w:tmpl w:val="81D0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A0630E"/>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F57F1"/>
    <w:multiLevelType w:val="hybridMultilevel"/>
    <w:tmpl w:val="168EA0E2"/>
    <w:lvl w:ilvl="0" w:tplc="A692E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A6C3D"/>
    <w:multiLevelType w:val="hybridMultilevel"/>
    <w:tmpl w:val="5DB43B7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771D54C2"/>
    <w:multiLevelType w:val="hybridMultilevel"/>
    <w:tmpl w:val="5C98BCCC"/>
    <w:lvl w:ilvl="0" w:tplc="F6721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24"/>
  </w:num>
  <w:num w:numId="5">
    <w:abstractNumId w:val="13"/>
  </w:num>
  <w:num w:numId="6">
    <w:abstractNumId w:val="18"/>
  </w:num>
  <w:num w:numId="7">
    <w:abstractNumId w:val="11"/>
  </w:num>
  <w:num w:numId="8">
    <w:abstractNumId w:val="9"/>
  </w:num>
  <w:num w:numId="9">
    <w:abstractNumId w:val="21"/>
  </w:num>
  <w:num w:numId="10">
    <w:abstractNumId w:val="17"/>
  </w:num>
  <w:num w:numId="11">
    <w:abstractNumId w:val="16"/>
  </w:num>
  <w:num w:numId="12">
    <w:abstractNumId w:val="12"/>
  </w:num>
  <w:num w:numId="13">
    <w:abstractNumId w:val="4"/>
  </w:num>
  <w:num w:numId="14">
    <w:abstractNumId w:val="7"/>
  </w:num>
  <w:num w:numId="15">
    <w:abstractNumId w:val="0"/>
  </w:num>
  <w:num w:numId="16">
    <w:abstractNumId w:val="3"/>
  </w:num>
  <w:num w:numId="17">
    <w:abstractNumId w:val="5"/>
  </w:num>
  <w:num w:numId="18">
    <w:abstractNumId w:val="22"/>
  </w:num>
  <w:num w:numId="19">
    <w:abstractNumId w:val="1"/>
  </w:num>
  <w:num w:numId="20">
    <w:abstractNumId w:val="25"/>
  </w:num>
  <w:num w:numId="21">
    <w:abstractNumId w:val="19"/>
  </w:num>
  <w:num w:numId="22">
    <w:abstractNumId w:val="6"/>
  </w:num>
  <w:num w:numId="23">
    <w:abstractNumId w:val="14"/>
  </w:num>
  <w:num w:numId="24">
    <w:abstractNumId w:val="23"/>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13F7B"/>
    <w:rsid w:val="00000062"/>
    <w:rsid w:val="00003E65"/>
    <w:rsid w:val="0001602C"/>
    <w:rsid w:val="00043783"/>
    <w:rsid w:val="000447B5"/>
    <w:rsid w:val="000C0ED9"/>
    <w:rsid w:val="000D22FC"/>
    <w:rsid w:val="00100C51"/>
    <w:rsid w:val="00111F72"/>
    <w:rsid w:val="00120C24"/>
    <w:rsid w:val="0014323B"/>
    <w:rsid w:val="00166393"/>
    <w:rsid w:val="00182674"/>
    <w:rsid w:val="001D31E0"/>
    <w:rsid w:val="002377BD"/>
    <w:rsid w:val="0025723B"/>
    <w:rsid w:val="002B6312"/>
    <w:rsid w:val="002D03E6"/>
    <w:rsid w:val="002D297F"/>
    <w:rsid w:val="002F2EF6"/>
    <w:rsid w:val="003143AC"/>
    <w:rsid w:val="00315043"/>
    <w:rsid w:val="003232A0"/>
    <w:rsid w:val="003756A3"/>
    <w:rsid w:val="00377A85"/>
    <w:rsid w:val="00423107"/>
    <w:rsid w:val="00482F03"/>
    <w:rsid w:val="0048489F"/>
    <w:rsid w:val="00486D44"/>
    <w:rsid w:val="004911CC"/>
    <w:rsid w:val="004977E3"/>
    <w:rsid w:val="00511D20"/>
    <w:rsid w:val="00524973"/>
    <w:rsid w:val="005271DD"/>
    <w:rsid w:val="00541568"/>
    <w:rsid w:val="005567DD"/>
    <w:rsid w:val="00557C1B"/>
    <w:rsid w:val="005667B0"/>
    <w:rsid w:val="006372AF"/>
    <w:rsid w:val="0069616C"/>
    <w:rsid w:val="006A2D7F"/>
    <w:rsid w:val="006B06C8"/>
    <w:rsid w:val="006C6505"/>
    <w:rsid w:val="007043D3"/>
    <w:rsid w:val="00793290"/>
    <w:rsid w:val="007B0BFC"/>
    <w:rsid w:val="007C6FDC"/>
    <w:rsid w:val="007F7F07"/>
    <w:rsid w:val="00825A2C"/>
    <w:rsid w:val="008533D5"/>
    <w:rsid w:val="008662DB"/>
    <w:rsid w:val="0088109D"/>
    <w:rsid w:val="00885AED"/>
    <w:rsid w:val="008C7DF3"/>
    <w:rsid w:val="0090105B"/>
    <w:rsid w:val="00904F3E"/>
    <w:rsid w:val="00971986"/>
    <w:rsid w:val="009B55F7"/>
    <w:rsid w:val="009D19EB"/>
    <w:rsid w:val="009D3412"/>
    <w:rsid w:val="00A30C5F"/>
    <w:rsid w:val="00A31F4C"/>
    <w:rsid w:val="00A37B5B"/>
    <w:rsid w:val="00A41969"/>
    <w:rsid w:val="00A422AD"/>
    <w:rsid w:val="00A50977"/>
    <w:rsid w:val="00A66E2B"/>
    <w:rsid w:val="00A7735B"/>
    <w:rsid w:val="00AA3D6C"/>
    <w:rsid w:val="00AB4112"/>
    <w:rsid w:val="00B046A3"/>
    <w:rsid w:val="00B051A9"/>
    <w:rsid w:val="00B1455B"/>
    <w:rsid w:val="00B43579"/>
    <w:rsid w:val="00B92D90"/>
    <w:rsid w:val="00BD41F5"/>
    <w:rsid w:val="00C029E5"/>
    <w:rsid w:val="00C02E4A"/>
    <w:rsid w:val="00C23258"/>
    <w:rsid w:val="00C423A5"/>
    <w:rsid w:val="00C5018D"/>
    <w:rsid w:val="00C53488"/>
    <w:rsid w:val="00C60203"/>
    <w:rsid w:val="00C60445"/>
    <w:rsid w:val="00C632A9"/>
    <w:rsid w:val="00C709D5"/>
    <w:rsid w:val="00C81AB6"/>
    <w:rsid w:val="00C83FFE"/>
    <w:rsid w:val="00CF56E9"/>
    <w:rsid w:val="00D30E93"/>
    <w:rsid w:val="00D605A5"/>
    <w:rsid w:val="00D66B15"/>
    <w:rsid w:val="00DA2E7B"/>
    <w:rsid w:val="00DC04C8"/>
    <w:rsid w:val="00DD00D4"/>
    <w:rsid w:val="00DD0416"/>
    <w:rsid w:val="00DF0A29"/>
    <w:rsid w:val="00DF31F4"/>
    <w:rsid w:val="00DF666F"/>
    <w:rsid w:val="00E3115C"/>
    <w:rsid w:val="00E43CB7"/>
    <w:rsid w:val="00E549CB"/>
    <w:rsid w:val="00E82633"/>
    <w:rsid w:val="00E92BFD"/>
    <w:rsid w:val="00EA4623"/>
    <w:rsid w:val="00F13F7B"/>
    <w:rsid w:val="00F17353"/>
    <w:rsid w:val="00F373F6"/>
    <w:rsid w:val="00F81878"/>
    <w:rsid w:val="00FD3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F7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57C1B"/>
    <w:rPr>
      <w:sz w:val="16"/>
      <w:szCs w:val="16"/>
    </w:rPr>
  </w:style>
  <w:style w:type="paragraph" w:styleId="CommentText">
    <w:name w:val="annotation text"/>
    <w:basedOn w:val="Normal"/>
    <w:link w:val="CommentTextChar"/>
    <w:uiPriority w:val="99"/>
    <w:semiHidden/>
    <w:unhideWhenUsed/>
    <w:rsid w:val="00557C1B"/>
    <w:pPr>
      <w:spacing w:line="240" w:lineRule="auto"/>
    </w:pPr>
    <w:rPr>
      <w:sz w:val="20"/>
      <w:szCs w:val="20"/>
    </w:rPr>
  </w:style>
  <w:style w:type="character" w:customStyle="1" w:styleId="CommentTextChar">
    <w:name w:val="Comment Text Char"/>
    <w:basedOn w:val="DefaultParagraphFont"/>
    <w:link w:val="CommentText"/>
    <w:uiPriority w:val="99"/>
    <w:semiHidden/>
    <w:rsid w:val="00557C1B"/>
    <w:rPr>
      <w:sz w:val="20"/>
      <w:szCs w:val="20"/>
    </w:rPr>
  </w:style>
  <w:style w:type="paragraph" w:styleId="CommentSubject">
    <w:name w:val="annotation subject"/>
    <w:basedOn w:val="CommentText"/>
    <w:next w:val="CommentText"/>
    <w:link w:val="CommentSubjectChar"/>
    <w:uiPriority w:val="99"/>
    <w:semiHidden/>
    <w:unhideWhenUsed/>
    <w:rsid w:val="00557C1B"/>
    <w:rPr>
      <w:b/>
      <w:bCs/>
    </w:rPr>
  </w:style>
  <w:style w:type="character" w:customStyle="1" w:styleId="CommentSubjectChar">
    <w:name w:val="Comment Subject Char"/>
    <w:basedOn w:val="CommentTextChar"/>
    <w:link w:val="CommentSubject"/>
    <w:uiPriority w:val="99"/>
    <w:semiHidden/>
    <w:rsid w:val="00557C1B"/>
    <w:rPr>
      <w:b/>
      <w:bCs/>
    </w:rPr>
  </w:style>
  <w:style w:type="paragraph" w:styleId="BalloonText">
    <w:name w:val="Balloon Text"/>
    <w:basedOn w:val="Normal"/>
    <w:link w:val="BalloonTextChar"/>
    <w:uiPriority w:val="99"/>
    <w:semiHidden/>
    <w:unhideWhenUsed/>
    <w:rsid w:val="0055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1B"/>
    <w:rPr>
      <w:rFonts w:ascii="Tahoma" w:hAnsi="Tahoma" w:cs="Tahoma"/>
      <w:sz w:val="16"/>
      <w:szCs w:val="16"/>
    </w:rPr>
  </w:style>
  <w:style w:type="paragraph" w:styleId="Header">
    <w:name w:val="header"/>
    <w:basedOn w:val="Normal"/>
    <w:link w:val="HeaderChar"/>
    <w:uiPriority w:val="99"/>
    <w:unhideWhenUsed/>
    <w:rsid w:val="00C0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A"/>
  </w:style>
  <w:style w:type="paragraph" w:styleId="Footer">
    <w:name w:val="footer"/>
    <w:basedOn w:val="Normal"/>
    <w:link w:val="FooterChar"/>
    <w:uiPriority w:val="99"/>
    <w:unhideWhenUsed/>
    <w:rsid w:val="00C0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A"/>
  </w:style>
  <w:style w:type="paragraph" w:styleId="ListParagraph">
    <w:name w:val="List Paragraph"/>
    <w:basedOn w:val="Normal"/>
    <w:uiPriority w:val="34"/>
    <w:qFormat/>
    <w:rsid w:val="00000062"/>
    <w:pPr>
      <w:ind w:left="720"/>
      <w:contextualSpacing/>
    </w:pPr>
  </w:style>
  <w:style w:type="paragraph" w:styleId="NoSpacing">
    <w:name w:val="No Spacing"/>
    <w:link w:val="NoSpacingChar"/>
    <w:uiPriority w:val="1"/>
    <w:qFormat/>
    <w:rsid w:val="00423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107"/>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F901-2BB9-434F-971C-67780C6C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Vardhman Concrete Limited</vt:lpstr>
    </vt:vector>
  </TitlesOfParts>
  <Company>VarHman concrete Limited</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Financial Services Limited</dc:title>
  <dc:subject>Policy on Material Subsidiaries</dc:subject>
  <dc:creator>Pi</dc:creator>
  <cp:lastModifiedBy>PJSA</cp:lastModifiedBy>
  <cp:revision>51</cp:revision>
  <dcterms:created xsi:type="dcterms:W3CDTF">2016-01-08T09:43:00Z</dcterms:created>
  <dcterms:modified xsi:type="dcterms:W3CDTF">2016-10-16T12:39:00Z</dcterms:modified>
</cp:coreProperties>
</file>